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Основні принципи взаємодії учасників тендерної процедури закупівлі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Об’єкт: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 «Капітальний ремонт громадської будівлі під Відокремлений структурний підрозділ – Регіональна філія Медичного центру БО "БФ "Суперлюди" («SUPERHUMANS Center for victims of war»), «Центр протезування, реабілітації, психологічної підтримки і соціальної реінтеграції людей, постраждалих внаслідок війни», що знаходиться за адресою: м. Дніпро, вул. Батумська, 13»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tcj81g4060am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Предмет закупівлі (назва тендеру): Вибір підрядника для виконання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комплексу робіт по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мережі СКС, відеонагляду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 тендерної закупівлі____________________________________________________________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4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Взаємовідносини  між учасниками закупівель будуються на принципах: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Чесності;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Порядності;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Законності;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Економічної доцільності;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Нульового рівня толерантності до проявів корупції та недобросовісної конкуренції.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закупівель;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Учасник тендерної закупівлі: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86" w:right="0" w:firstLine="0"/>
        <w:jc w:val="both"/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016635" cy="345401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____________________________ </w:t>
      </w:r>
    </w:p>
    <w:p w:rsidR="00000000" w:rsidDel="00000000" w:rsidP="00000000" w:rsidRDefault="00000000" w:rsidRPr="00000000" w14:paraId="00000022">
      <w:pPr>
        <w:tabs>
          <w:tab w:val="left" w:leader="none" w:pos="6105"/>
        </w:tabs>
        <w:jc w:val="both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       ________________/_____________ /            _____________/_____________/</w:t>
      </w:r>
    </w:p>
    <w:sectPr>
      <w:footerReference r:id="rId8" w:type="default"/>
      <w:pgSz w:h="16838" w:w="11906" w:orient="portrait"/>
      <w:pgMar w:bottom="709" w:top="426" w:left="426" w:right="566" w:header="708" w:footer="41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__________________________ 2024 р.</w:t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9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L8dMHdEV+P6UUvhdvdRou54q8Q==">CgMxLjAyDmgudGNqODFnNDA2MGFtOAByITFwM05ZOUl2RDlhSmlKa2lFXzlTTUJtVlI3cW1IcmpfTQ==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