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01AA5" w:rsidRDefault="00141CF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  <w:t xml:space="preserve"> ПОГОДЖЕНО:</w:t>
      </w:r>
    </w:p>
    <w:p w:rsidR="00201AA5" w:rsidRDefault="00141CF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</w:t>
      </w:r>
    </w:p>
    <w:p w:rsidR="00201AA5" w:rsidRDefault="00141CF5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_____________________________                                                                                                                                                                         </w:t>
      </w:r>
    </w:p>
    <w:p w:rsidR="00201AA5" w:rsidRDefault="00141CF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                                                                </w:t>
      </w:r>
    </w:p>
    <w:p w:rsidR="00201AA5" w:rsidRDefault="00141CF5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ab/>
        <w:t xml:space="preserve">  «___» _____________ 2026 р. 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</w:t>
      </w:r>
    </w:p>
    <w:p w:rsidR="00201AA5" w:rsidRDefault="00141CF5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                                                                                              </w:t>
      </w:r>
    </w:p>
    <w:p w:rsidR="00201AA5" w:rsidRDefault="00141CF5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ПРОЕКТ: </w:t>
      </w:r>
      <w:r>
        <w:rPr>
          <w:rFonts w:ascii="Times New Roman" w:eastAsia="Times New Roman" w:hAnsi="Times New Roman" w:cs="Times New Roman"/>
          <w:sz w:val="24"/>
          <w:szCs w:val="24"/>
        </w:rPr>
        <w:t>«Реконструкція будівель спального корпу</w:t>
      </w:r>
      <w:r>
        <w:rPr>
          <w:rFonts w:ascii="Times New Roman" w:eastAsia="Times New Roman" w:hAnsi="Times New Roman" w:cs="Times New Roman"/>
          <w:sz w:val="24"/>
          <w:szCs w:val="24"/>
        </w:rPr>
        <w:t>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 Відокремленого структурного підрозділу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Медичного центру Благодійної організації «Благодійний фонд «Суперлюди» у м. Одеса («SUPERHUMANS war trauma center»), що знаходиться за адресою: м.Одеса, провулок Каркашадзе, 2»</w:t>
      </w:r>
    </w:p>
    <w:p w:rsidR="00201AA5" w:rsidRDefault="00141CF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ТЕХНІЧНЕ ЗАВДАННЯ</w:t>
      </w:r>
    </w:p>
    <w:p w:rsidR="00201AA5" w:rsidRDefault="00141CF5">
      <w:pPr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на вибір підрядника для на виготовлення та поставку меблів</w:t>
      </w:r>
    </w:p>
    <w:tbl>
      <w:tblPr>
        <w:tblStyle w:val="afe"/>
        <w:tblW w:w="1035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05"/>
        <w:gridCol w:w="2130"/>
        <w:gridCol w:w="6375"/>
        <w:gridCol w:w="1140"/>
      </w:tblGrid>
      <w:tr w:rsidR="00201AA5">
        <w:tc>
          <w:tcPr>
            <w:tcW w:w="705" w:type="dxa"/>
          </w:tcPr>
          <w:p w:rsidR="00201AA5" w:rsidRDefault="00201AA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130" w:type="dxa"/>
          </w:tcPr>
          <w:p w:rsidR="00201AA5" w:rsidRDefault="00141C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Найменування</w:t>
            </w:r>
          </w:p>
        </w:tc>
        <w:tc>
          <w:tcPr>
            <w:tcW w:w="6375" w:type="dxa"/>
          </w:tcPr>
          <w:p w:rsidR="00201AA5" w:rsidRDefault="00141C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Зміст</w:t>
            </w:r>
          </w:p>
        </w:tc>
        <w:tc>
          <w:tcPr>
            <w:tcW w:w="1140" w:type="dxa"/>
          </w:tcPr>
          <w:p w:rsidR="00201AA5" w:rsidRDefault="00141CF5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Примітка</w:t>
            </w: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Замовник</w:t>
            </w:r>
          </w:p>
        </w:tc>
        <w:tc>
          <w:tcPr>
            <w:tcW w:w="6375" w:type="dxa"/>
          </w:tcPr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highlight w:val="white"/>
              </w:rPr>
              <w:t>БО «БФ «Суперлюди»</w:t>
            </w: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rPr>
          <w:trHeight w:val="2488"/>
        </w:trPr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Об’єкт</w:t>
            </w:r>
          </w:p>
        </w:tc>
        <w:tc>
          <w:tcPr>
            <w:tcW w:w="6375" w:type="dxa"/>
          </w:tcPr>
          <w:p w:rsidR="00201AA5" w:rsidRDefault="00141CF5">
            <w:pPr>
              <w:spacing w:after="20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«Реконструкція будівель спального корпусу (М), приймального корпусу (Г), харчового блоку -  ізолятора (Ц), адміністративного корпусу (Щ), столярки (Ч), гаражу (Д, И, Е, Ж, З), котельні-пральні (В, Б) та сараю (П) існуючого майнового комплексу під створення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Відокремленого структурного підрозділу Медичного центру Благодійної організації «Благодійний фонд «Суперлюди» у м. Одеса («SUPERHUMANS war trauma center»), що знаходиться за адресою: м. Одеса, провулок Каркашадзе, 2»</w:t>
            </w: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Предмет закупівлі </w:t>
            </w:r>
          </w:p>
        </w:tc>
        <w:tc>
          <w:tcPr>
            <w:tcW w:w="6375" w:type="dxa"/>
          </w:tcPr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Виконання комплексу робіт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згідно з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Додатком №1.1, 1.2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 цього технічного завдання. </w:t>
            </w: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Характеристики об’єкту</w:t>
            </w:r>
          </w:p>
        </w:tc>
        <w:tc>
          <w:tcPr>
            <w:tcW w:w="6375" w:type="dxa"/>
          </w:tcPr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Чотирьохповерхова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будівля з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підземним укриттям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розташована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м. Одеса, провулок Каркашадзе, 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предмету закупівлі</w:t>
            </w:r>
          </w:p>
        </w:tc>
        <w:tc>
          <w:tcPr>
            <w:tcW w:w="6375" w:type="dxa"/>
          </w:tcPr>
          <w:p w:rsidR="00201AA5" w:rsidRDefault="00141CF5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Комплекс робіт включає:  </w:t>
            </w:r>
          </w:p>
          <w:p w:rsidR="00201AA5" w:rsidRDefault="00141CF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Виготовлення, поставку на об’єкт, розміщення згідно проекту - індивідуальних корпусних меблів.</w:t>
            </w:r>
          </w:p>
          <w:p w:rsidR="00201AA5" w:rsidRDefault="00141CF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Поставка та розміщення згідно проекту - меблів серійного виробництва.</w:t>
            </w:r>
          </w:p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left="30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Склад робіт  вказані в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1.1, 1,2</w:t>
            </w:r>
          </w:p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left="30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випадку, якщо при підготовці комерційної пропози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ції учасник відмітить роботи, які не містяться в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Додатку №1.1, 1.2,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але на його думку потребують окремої уваги,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такі дані необхідно додати до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Додатку №1.3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(вкладка «послуги додатково»).</w:t>
            </w:r>
          </w:p>
          <w:p w:rsidR="00201AA5" w:rsidRDefault="00141CF5">
            <w:pPr>
              <w:keepNext/>
              <w:keepLines/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Проектна документація та специфікації конструкцій наведені в </w:t>
            </w: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Додатку 2.1, 2.2. </w:t>
            </w:r>
          </w:p>
          <w:p w:rsidR="00201AA5" w:rsidRDefault="00141CF5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разі виникнення змін об’єму або в часі послуг згідно цього ТЗ, буде укладена за взаємною угодою сторін додаткова угода до основного договору.</w:t>
            </w:r>
          </w:p>
          <w:p w:rsidR="00201AA5" w:rsidRDefault="00201AA5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Вимоги до місця, складу та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обсягу послуг</w:t>
            </w:r>
          </w:p>
        </w:tc>
        <w:tc>
          <w:tcPr>
            <w:tcW w:w="6375" w:type="dxa"/>
          </w:tcPr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Загальні вимоги:</w:t>
            </w:r>
          </w:p>
          <w:p w:rsidR="00201AA5" w:rsidRDefault="00141CF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виготовлення виробів згідно проекту;                                            - доставка виробів;</w:t>
            </w:r>
          </w:p>
          <w:p w:rsidR="00201AA5" w:rsidRDefault="00141CF5">
            <w:pPr>
              <w:ind w:left="-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-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підйом конструктивних елементів на місце встановлення;</w:t>
            </w:r>
          </w:p>
          <w:p w:rsidR="00201AA5" w:rsidRDefault="00141CF5">
            <w:pPr>
              <w:ind w:left="-6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складання меблів на місці монтажу;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 xml:space="preserve"> - прибирання місць установки та вивіз сміття;</w:t>
            </w:r>
          </w:p>
          <w:p w:rsidR="00201AA5" w:rsidRDefault="00141CF5">
            <w:pPr>
              <w:ind w:left="-6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 </w:t>
            </w:r>
          </w:p>
          <w:p w:rsidR="00201AA5" w:rsidRDefault="00141CF5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 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Всі матеріали та вироби (що підлягають обов’язковій сертифікації) повинні бути сертифіковані на території України.</w:t>
            </w:r>
          </w:p>
          <w:p w:rsidR="00201AA5" w:rsidRDefault="00141CF5">
            <w:pPr>
              <w:ind w:left="-6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Сертифікати на матеріали та вироби надаються представникам Замовника.</w:t>
            </w:r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До початку виконання робіт, необхідно розробити та надіслати кресл</w:t>
            </w: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>ення на погодження.</w:t>
            </w:r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 При виконанні робіт необхідно слідкувати за щоденним  прибиранням місць виконання робіт, складуванням  будівельного сміття в відведених для цього місцях. У випадку невиконання даних вимог Інженер-консультант залишає за собою право до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ручити виконання даної роботи третій стороні, з подальшим утриманням витрачених ресурсів з актів виконаних робіт підрядника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Термін виконання робіт</w:t>
            </w:r>
          </w:p>
        </w:tc>
        <w:tc>
          <w:tcPr>
            <w:tcW w:w="6375" w:type="dxa"/>
          </w:tcPr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Орієнтовний початок виконання робіт по збірці та установці меблів на об’єкті: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1-етап (підвал, 1-й, 2-й поверхи) – початок 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03.05.2026 р.,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завершення робіт: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20.05.2026 р.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2-етап (3-й, 4-й поверхи) – початок 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23.05.2026 р.,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  <w:t xml:space="preserve">завершення робіт: </w:t>
            </w:r>
            <w:r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  <w:t>08.06.2026 р.</w:t>
            </w: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безпеки виконуваних робіт</w:t>
            </w:r>
          </w:p>
        </w:tc>
        <w:tc>
          <w:tcPr>
            <w:tcW w:w="6375" w:type="dxa"/>
          </w:tcPr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Відповідальність за безпечне виконання будівельних робіт покладається на Виконавця, який має надати наказ на відповідального за Техніки безпеки. 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Підрядником повинна бути призначена особа відповідальна за безпечне виконання робіт та охорону праці на об’єкт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і.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Персонал підрядника, задіяний на виконання робіт на об’єкті повинен бути проінструктований щодо необхідності виконання заходів безпеки, пожежної безпеки та охорони праці у відповідності до чинного законодавства.</w:t>
            </w: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9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Вимоги до фінансування </w:t>
            </w:r>
          </w:p>
        </w:tc>
        <w:tc>
          <w:tcPr>
            <w:tcW w:w="6375" w:type="dxa"/>
          </w:tcPr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Фінансування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проводиться у відповідності до затвердженого Плану фінансування. Замовник перераховує 100% коштів на матеріали та передплату на виконання робіт 30% на відповідний місяць. 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Оплата виконаних робіт – після підписання щомісячних Актів виконаних робіт (надаютьс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 на перевірку технагляду не пізніше 30 числа поточного місяця).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Обов’язкова умова Замовника – щомісячне подання та підписання актів виконаних робіт.</w:t>
            </w:r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Критерії та умови проведення вибору переможця</w:t>
            </w:r>
          </w:p>
        </w:tc>
        <w:tc>
          <w:tcPr>
            <w:tcW w:w="6375" w:type="dxa"/>
          </w:tcPr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 Оптимальна вартість робіт та матеріалів – 40 балів,</w:t>
            </w:r>
          </w:p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 Виконання робіт у визначений термін – 30 балів,</w:t>
            </w:r>
          </w:p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Досвід  виконання робіт, аналогічних предмету закупівлі досвід у подібних проектах та якість команди (кваліфікація спеціалістів, рекомендації, відг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уки) – 15 балів.</w:t>
            </w:r>
          </w:p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Гарантійні зобов’язання – 10 балів</w:t>
            </w:r>
          </w:p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5.Гнучкість цінової пропозиції (знижки, додаткові бонуси) – 5 балів.</w:t>
            </w:r>
          </w:p>
          <w:p w:rsidR="00201AA5" w:rsidRDefault="00141CF5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Компанії, які подали свої пропозиції, автоматично підтверджують, що проведення тендерної процедури здійснюється виключно за внутрішн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іми правилами, встановленими Благодійним фондом, і не накладає на Фонд ніяких зобов'язань щодо будь-якого чи всіх його учасників. Організатор закупівлі може в будь-який момент відмовитися від проведення вищевказаної процедури, змінити його умови, відмовити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окремим особам в участі на будь-якому етапі її проведення, а також відмовитися від укладення договору з будь-яким учасником без будь-яких юридичних наслідків і відповідальності для себе. Пояснення причин будь-якого з вищевказаних дій є правом Фонду, але 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 обов'язково.</w:t>
            </w:r>
          </w:p>
          <w:p w:rsidR="00201AA5" w:rsidRDefault="00141CF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Замовник має право запросити додаткову інформацію або документи від учасників.</w:t>
            </w:r>
          </w:p>
          <w:p w:rsidR="00201AA5" w:rsidRDefault="00201AA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Замовник залишає за собою право зробити учаснику тендера зустрічну пропозицію, більш оптимальну вартість робіт та матеріалів, перед укладанням договору.</w:t>
            </w:r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11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Строк та форма подачі пропозиції</w:t>
            </w:r>
          </w:p>
        </w:tc>
        <w:tc>
          <w:tcPr>
            <w:tcW w:w="6375" w:type="dxa"/>
          </w:tcPr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0" w:name="_heading=h.30j0zll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Комерційна пропозиція повинна бути надана у електронному вигляді за формою, встановленою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Додатком №1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(exel та скан копія підписаної пропозиції) на електронну адресу:</w:t>
            </w:r>
            <w:r>
              <w:rPr>
                <w:rFonts w:ascii="Arial" w:eastAsia="Arial" w:hAnsi="Arial" w:cs="Arial"/>
                <w:color w:val="0563C1"/>
                <w:highlight w:val="white"/>
                <w:u w:val="single"/>
              </w:rPr>
              <w:t xml:space="preserve"> construction.odessa@superhumans.com</w:t>
            </w:r>
            <w:r>
              <w:rPr>
                <w:rFonts w:ascii="Arial" w:eastAsia="Arial" w:hAnsi="Arial" w:cs="Arial"/>
                <w:color w:val="000000"/>
                <w:highlight w:val="white"/>
              </w:rPr>
              <w:t xml:space="preserve">, копію на: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hyperlink r:id="rId8">
              <w:r>
                <w:rPr>
                  <w:rFonts w:ascii="Arial" w:eastAsia="Arial" w:hAnsi="Arial" w:cs="Arial"/>
                  <w:color w:val="0563C1"/>
                  <w:highlight w:val="white"/>
                  <w:u w:val="single"/>
                </w:rPr>
                <w:t>Makogon.n@cbmforum.com.</w:t>
              </w:r>
            </w:hyperlink>
            <w:r>
              <w:rPr>
                <w:rFonts w:ascii="Arial" w:eastAsia="Arial" w:hAnsi="Arial" w:cs="Arial"/>
                <w:color w:val="0563C1"/>
                <w:highlight w:val="white"/>
                <w:u w:val="single"/>
              </w:rPr>
              <w:t>ua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Строк подачі пропозиції – 12-00 </w:t>
            </w:r>
            <w:r w:rsidR="0092058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6.0</w:t>
            </w:r>
            <w:r w:rsidR="0092058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uk-UA"/>
              </w:rPr>
              <w:t>3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.2026 року.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комерційної пропозиції необхідно додати: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1. Підписане технічне завдання; 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 Презентацію компанії, учасника тендеру з переліком реалізованих об’єкт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ів (портфоліо); 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3. Довідку в довільній формі із зазначенням досвіду виконання аналогічних робіт по цій закупівлі;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 Директивний графік виконання робіт;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 Реєстраційні документи компанії;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6. Відомості про кількість, кваліфікацію і досвід ключових інженер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но-технічних працівників претендента та спеціалістів;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Рекомендаційні листи від Замовників;</w:t>
            </w:r>
          </w:p>
          <w:p w:rsidR="00201AA5" w:rsidRDefault="00141CF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 Завірений підписом Меморандум (Додаток № 3);</w:t>
            </w:r>
          </w:p>
          <w:p w:rsidR="00201AA5" w:rsidRDefault="00141CF5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9. Завірена підписом Заява (Додаток № 4)</w:t>
            </w:r>
          </w:p>
          <w:p w:rsidR="0092058C" w:rsidRPr="0092058C" w:rsidRDefault="0092058C">
            <w:pP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uk-UA"/>
              </w:rPr>
              <w:t>10. Лист про гарантійні зобовязання.</w:t>
            </w:r>
            <w:bookmarkStart w:id="1" w:name="_GoBack"/>
            <w:bookmarkEnd w:id="1"/>
          </w:p>
          <w:p w:rsidR="00201AA5" w:rsidRDefault="00201AA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201AA5">
        <w:tc>
          <w:tcPr>
            <w:tcW w:w="705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130" w:type="dxa"/>
          </w:tcPr>
          <w:p w:rsidR="00201AA5" w:rsidRDefault="00141CF5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Контактна особа</w:t>
            </w:r>
          </w:p>
        </w:tc>
        <w:tc>
          <w:tcPr>
            <w:tcW w:w="6375" w:type="dxa"/>
          </w:tcPr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 організаційних та загальних питань – Макогон Наталія +380 67 219 43 43</w:t>
            </w:r>
          </w:p>
          <w:p w:rsidR="00201AA5" w:rsidRDefault="00141CF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З технічних питань Мороз Микола +380 73 20 80 279</w:t>
            </w:r>
          </w:p>
        </w:tc>
        <w:tc>
          <w:tcPr>
            <w:tcW w:w="1140" w:type="dxa"/>
          </w:tcPr>
          <w:p w:rsidR="00201AA5" w:rsidRDefault="00201AA5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201AA5" w:rsidRDefault="00201AA5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01AA5" w:rsidRDefault="00201AA5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201AA5" w:rsidRDefault="00141CF5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bookmarkStart w:id="2" w:name="_heading=h.3znysh7" w:colFirst="0" w:colLast="0"/>
      <w:bookmarkEnd w:id="2"/>
      <w:r>
        <w:rPr>
          <w:rFonts w:ascii="Times New Roman" w:eastAsia="Times New Roman" w:hAnsi="Times New Roman" w:cs="Times New Roman"/>
          <w:b/>
          <w:bCs/>
          <w:sz w:val="24"/>
          <w:szCs w:val="24"/>
          <w:highlight w:val="yellow"/>
        </w:rPr>
        <w:t xml:space="preserve">                                                                       </w:t>
      </w:r>
    </w:p>
    <w:sectPr w:rsidR="00201AA5">
      <w:headerReference w:type="default" r:id="rId9"/>
      <w:footerReference w:type="default" r:id="rId10"/>
      <w:pgSz w:w="11906" w:h="16838"/>
      <w:pgMar w:top="567" w:right="567" w:bottom="567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41CF5" w:rsidRDefault="00141CF5">
      <w:pPr>
        <w:spacing w:after="0" w:line="240" w:lineRule="auto"/>
      </w:pPr>
      <w:r>
        <w:separator/>
      </w:r>
    </w:p>
  </w:endnote>
  <w:endnote w:type="continuationSeparator" w:id="0">
    <w:p w:rsidR="00141CF5" w:rsidRDefault="00141C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Noto Sans Symbols">
    <w:charset w:val="00"/>
    <w:family w:val="auto"/>
    <w:pitch w:val="default"/>
    <w:embedRegular r:id="rId1" w:fontKey="{BB0A4E6C-3D97-4297-A46D-FC73BF640F59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9B829B9D-C3A0-4844-9489-DF07AD26725B}"/>
    <w:embedBold r:id="rId3" w:fontKey="{371A308B-1A2B-4A5E-BEE3-07F8AEF5213C}"/>
  </w:font>
  <w:font w:name="Segoe UI">
    <w:panose1 w:val="020B0502040204020203"/>
    <w:charset w:val="00"/>
    <w:family w:val="roman"/>
    <w:notTrueType/>
    <w:pitch w:val="default"/>
    <w:embedRegular r:id="rId4" w:fontKey="{7F9CA529-0AB1-42B4-BFDD-C5226D694BCD}"/>
  </w:font>
  <w:font w:name="Arial Narrow">
    <w:panose1 w:val="020B0606020202030204"/>
    <w:charset w:val="00"/>
    <w:family w:val="roman"/>
    <w:notTrueType/>
    <w:pitch w:val="default"/>
    <w:embedRegular r:id="rId5" w:fontKey="{51DA672D-3DC9-4C31-AC79-63ADDB7F9F3C}"/>
  </w:font>
  <w:font w:name="Segoe Script">
    <w:panose1 w:val="030B0504020000000003"/>
    <w:charset w:val="CC"/>
    <w:family w:val="script"/>
    <w:pitch w:val="variable"/>
    <w:sig w:usb0="0000028F" w:usb1="00000000" w:usb2="00000000" w:usb3="00000000" w:csb0="0000009F" w:csb1="00000000"/>
    <w:embedRegular r:id="rId6" w:fontKey="{E705CDB8-2538-4E8E-9427-F328277ACD05}"/>
  </w:font>
  <w:font w:name="Georgia">
    <w:panose1 w:val="02040502050405020303"/>
    <w:charset w:val="00"/>
    <w:family w:val="auto"/>
    <w:pitch w:val="default"/>
    <w:embedItalic r:id="rId7" w:fontKey="{C880EFE1-A862-400A-A854-9BBB8B352023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8" w:fontKey="{F548A467-AB3C-4C68-9746-E8EBF6F2775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01AA5" w:rsidRDefault="00141CF5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92058C">
      <w:rPr>
        <w:color w:val="000000"/>
      </w:rPr>
      <w:fldChar w:fldCharType="separate"/>
    </w:r>
    <w:r w:rsidR="0092058C">
      <w:rPr>
        <w:noProof/>
        <w:color w:val="000000"/>
      </w:rPr>
      <w:t>1</w:t>
    </w:r>
    <w:r>
      <w:rPr>
        <w:color w:val="000000"/>
      </w:rPr>
      <w:fldChar w:fldCharType="end"/>
    </w:r>
  </w:p>
  <w:p w:rsidR="00201AA5" w:rsidRDefault="00201AA5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41CF5" w:rsidRDefault="00141CF5">
      <w:pPr>
        <w:spacing w:after="0" w:line="240" w:lineRule="auto"/>
      </w:pPr>
      <w:r>
        <w:separator/>
      </w:r>
    </w:p>
  </w:footnote>
  <w:footnote w:type="continuationSeparator" w:id="0">
    <w:p w:rsidR="00141CF5" w:rsidRDefault="00141C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01AA5" w:rsidRDefault="00141CF5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rFonts w:ascii="Times New Roman" w:eastAsia="Times New Roman" w:hAnsi="Times New Roman" w:cs="Times New Roman"/>
        <w:noProof/>
        <w:color w:val="000000"/>
      </w:rPr>
      <w:drawing>
        <wp:inline distT="0" distB="0" distL="0" distR="0">
          <wp:extent cx="2752909" cy="830512"/>
          <wp:effectExtent l="0" t="0" r="0" b="0"/>
          <wp:docPr id="9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752909" cy="83051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201AA5" w:rsidRDefault="00201AA5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2136D22"/>
    <w:multiLevelType w:val="multilevel"/>
    <w:tmpl w:val="EB1E5C16"/>
    <w:lvl w:ilvl="0">
      <w:numFmt w:val="bullet"/>
      <w:pStyle w:val="CMSANMainHeading"/>
      <w:lvlText w:val="-"/>
      <w:lvlJc w:val="left"/>
      <w:pPr>
        <w:ind w:left="30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pStyle w:val="CMSANHeading1"/>
      <w:lvlText w:val="o"/>
      <w:lvlJc w:val="left"/>
      <w:pPr>
        <w:ind w:left="1020" w:hanging="360"/>
      </w:pPr>
      <w:rPr>
        <w:rFonts w:ascii="Courier New" w:eastAsia="Courier New" w:hAnsi="Courier New" w:cs="Courier New"/>
      </w:rPr>
    </w:lvl>
    <w:lvl w:ilvl="2">
      <w:start w:val="1"/>
      <w:numFmt w:val="bullet"/>
      <w:pStyle w:val="CMSANHeading2"/>
      <w:lvlText w:val="▪"/>
      <w:lvlJc w:val="left"/>
      <w:pPr>
        <w:ind w:left="17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pStyle w:val="CMSANHeading3"/>
      <w:lvlText w:val="●"/>
      <w:lvlJc w:val="left"/>
      <w:pPr>
        <w:ind w:left="24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pStyle w:val="CMSANHeading4"/>
      <w:lvlText w:val="o"/>
      <w:lvlJc w:val="left"/>
      <w:pPr>
        <w:ind w:left="3180" w:hanging="360"/>
      </w:pPr>
      <w:rPr>
        <w:rFonts w:ascii="Courier New" w:eastAsia="Courier New" w:hAnsi="Courier New" w:cs="Courier New"/>
      </w:rPr>
    </w:lvl>
    <w:lvl w:ilvl="5">
      <w:start w:val="1"/>
      <w:numFmt w:val="bullet"/>
      <w:pStyle w:val="CMSANHeading5"/>
      <w:lvlText w:val="▪"/>
      <w:lvlJc w:val="left"/>
      <w:pPr>
        <w:ind w:left="39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pStyle w:val="CMSANHeading6"/>
      <w:lvlText w:val="●"/>
      <w:lvlJc w:val="left"/>
      <w:pPr>
        <w:ind w:left="46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06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01AA5"/>
    <w:rsid w:val="00141CF5"/>
    <w:rsid w:val="00201AA5"/>
    <w:rsid w:val="00920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F145F1"/>
  <w15:docId w15:val="{12B7C920-578E-4CF5-8C8C-8446B01997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Calibri"/>
        <w:sz w:val="22"/>
        <w:szCs w:val="22"/>
        <w:lang w:val="uk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1"/>
    <w:qFormat/>
    <w:rsid w:val="002B2223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0222B7"/>
    <w:rPr>
      <w:sz w:val="16"/>
      <w:szCs w:val="16"/>
    </w:rPr>
  </w:style>
  <w:style w:type="paragraph" w:styleId="a6">
    <w:name w:val="annotation text"/>
    <w:link w:val="a7"/>
    <w:uiPriority w:val="99"/>
    <w:semiHidden/>
    <w:unhideWhenUsed/>
    <w:rsid w:val="000222B7"/>
    <w:pPr>
      <w:spacing w:line="240" w:lineRule="auto"/>
    </w:pPr>
    <w:rPr>
      <w:sz w:val="20"/>
      <w:szCs w:val="20"/>
    </w:rPr>
  </w:style>
  <w:style w:type="character" w:customStyle="1" w:styleId="a7">
    <w:name w:val="Текст примітки Знак"/>
    <w:basedOn w:val="a0"/>
    <w:link w:val="a6"/>
    <w:uiPriority w:val="99"/>
    <w:semiHidden/>
    <w:rsid w:val="000222B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0222B7"/>
    <w:rPr>
      <w:b/>
      <w:bCs/>
    </w:rPr>
  </w:style>
  <w:style w:type="character" w:customStyle="1" w:styleId="a9">
    <w:name w:val="Тема примітки Знак"/>
    <w:basedOn w:val="a7"/>
    <w:link w:val="a8"/>
    <w:uiPriority w:val="99"/>
    <w:semiHidden/>
    <w:rsid w:val="000222B7"/>
    <w:rPr>
      <w:b/>
      <w:bCs/>
      <w:sz w:val="20"/>
      <w:szCs w:val="20"/>
    </w:rPr>
  </w:style>
  <w:style w:type="paragraph" w:styleId="aa">
    <w:name w:val="Balloon Text"/>
    <w:link w:val="ab"/>
    <w:uiPriority w:val="99"/>
    <w:semiHidden/>
    <w:unhideWhenUsed/>
    <w:rsid w:val="000222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у виносці Знак"/>
    <w:basedOn w:val="a0"/>
    <w:link w:val="aa"/>
    <w:uiPriority w:val="99"/>
    <w:semiHidden/>
    <w:rsid w:val="000222B7"/>
    <w:rPr>
      <w:rFonts w:ascii="Segoe UI" w:hAnsi="Segoe UI" w:cs="Segoe UI"/>
      <w:sz w:val="18"/>
      <w:szCs w:val="18"/>
    </w:rPr>
  </w:style>
  <w:style w:type="character" w:customStyle="1" w:styleId="ac">
    <w:name w:val="Основний текст Знак"/>
    <w:basedOn w:val="a0"/>
    <w:link w:val="ad"/>
    <w:uiPriority w:val="1"/>
    <w:rsid w:val="00A37DA4"/>
    <w:rPr>
      <w:rFonts w:ascii="Arial Narrow" w:eastAsia="Arial Narrow" w:hAnsi="Arial Narrow"/>
      <w:sz w:val="17"/>
      <w:szCs w:val="17"/>
      <w:lang w:val="en-US"/>
    </w:rPr>
  </w:style>
  <w:style w:type="paragraph" w:styleId="ad">
    <w:name w:val="Body Text"/>
    <w:link w:val="ac"/>
    <w:uiPriority w:val="1"/>
    <w:qFormat/>
    <w:rsid w:val="00A37DA4"/>
    <w:pPr>
      <w:widowControl w:val="0"/>
      <w:spacing w:after="0" w:line="240" w:lineRule="auto"/>
      <w:ind w:left="131"/>
    </w:pPr>
    <w:rPr>
      <w:rFonts w:ascii="Arial Narrow" w:eastAsia="Arial Narrow" w:hAnsi="Arial Narrow"/>
      <w:sz w:val="17"/>
      <w:szCs w:val="17"/>
      <w:lang w:val="en-US"/>
    </w:rPr>
  </w:style>
  <w:style w:type="character" w:customStyle="1" w:styleId="ae">
    <w:name w:val="Верхній колонтитул Знак"/>
    <w:basedOn w:val="a0"/>
    <w:link w:val="af"/>
    <w:uiPriority w:val="99"/>
    <w:rsid w:val="00A37DA4"/>
    <w:rPr>
      <w:lang w:val="en-US"/>
    </w:rPr>
  </w:style>
  <w:style w:type="paragraph" w:styleId="af">
    <w:name w:val="header"/>
    <w:link w:val="ae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f0">
    <w:name w:val="Нижній колонтитул Знак"/>
    <w:basedOn w:val="a0"/>
    <w:link w:val="af1"/>
    <w:uiPriority w:val="99"/>
    <w:rsid w:val="00A37DA4"/>
    <w:rPr>
      <w:lang w:val="en-US"/>
    </w:rPr>
  </w:style>
  <w:style w:type="paragraph" w:styleId="af1">
    <w:name w:val="footer"/>
    <w:link w:val="af0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paragraph" w:customStyle="1" w:styleId="TableParagraph">
    <w:name w:val="Table Paragraph"/>
    <w:uiPriority w:val="1"/>
    <w:qFormat/>
    <w:rsid w:val="00A37DA4"/>
    <w:pPr>
      <w:widowControl w:val="0"/>
      <w:spacing w:after="0" w:line="240" w:lineRule="auto"/>
    </w:pPr>
    <w:rPr>
      <w:lang w:val="en-US"/>
    </w:rPr>
  </w:style>
  <w:style w:type="table" w:styleId="af2">
    <w:name w:val="Table Grid"/>
    <w:basedOn w:val="a1"/>
    <w:uiPriority w:val="39"/>
    <w:rsid w:val="00F929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rsid w:val="00113837"/>
    <w:rPr>
      <w:color w:val="0563C1" w:themeColor="hyperlink"/>
      <w:u w:val="single"/>
    </w:rPr>
  </w:style>
  <w:style w:type="table" w:customStyle="1" w:styleId="af4">
    <w:basedOn w:val="TableNormal6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6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7">
    <w:name w:val="Normal (Web)"/>
    <w:uiPriority w:val="99"/>
    <w:unhideWhenUsed/>
    <w:qFormat/>
    <w:rsid w:val="008B00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/>
    </w:rPr>
  </w:style>
  <w:style w:type="character" w:styleId="af8">
    <w:name w:val="FollowedHyperlink"/>
    <w:basedOn w:val="a0"/>
    <w:uiPriority w:val="99"/>
    <w:semiHidden/>
    <w:unhideWhenUsed/>
    <w:rsid w:val="00A0355D"/>
    <w:rPr>
      <w:color w:val="954F72" w:themeColor="followedHyperlink"/>
      <w:u w:val="single"/>
    </w:rPr>
  </w:style>
  <w:style w:type="paragraph" w:customStyle="1" w:styleId="CMSANHeading1">
    <w:name w:val="CMS AN Heading 1"/>
    <w:next w:val="CMSANHeading2"/>
    <w:uiPriority w:val="1"/>
    <w:qFormat/>
    <w:rsid w:val="00757851"/>
    <w:pPr>
      <w:keepNext/>
      <w:numPr>
        <w:ilvl w:val="1"/>
        <w:numId w:val="1"/>
      </w:numPr>
      <w:spacing w:before="240" w:after="120" w:line="300" w:lineRule="atLeast"/>
      <w:jc w:val="both"/>
      <w:outlineLvl w:val="1"/>
    </w:pPr>
    <w:rPr>
      <w:rFonts w:ascii="Times New Roman" w:eastAsiaTheme="minorHAnsi" w:hAnsi="Times New Roman" w:cs="Segoe Script"/>
      <w:b/>
      <w:caps/>
      <w:color w:val="000000" w:themeColor="text1"/>
      <w:lang w:val="en-GB" w:eastAsia="en-US"/>
    </w:rPr>
  </w:style>
  <w:style w:type="paragraph" w:customStyle="1" w:styleId="CMSANHeading2">
    <w:name w:val="CMS AN Heading 2"/>
    <w:uiPriority w:val="1"/>
    <w:qFormat/>
    <w:rsid w:val="00757851"/>
    <w:pPr>
      <w:numPr>
        <w:ilvl w:val="2"/>
        <w:numId w:val="1"/>
      </w:numPr>
      <w:spacing w:before="120" w:after="120" w:line="300" w:lineRule="atLeast"/>
      <w:jc w:val="both"/>
      <w:outlineLvl w:val="2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3">
    <w:name w:val="CMS AN Heading 3"/>
    <w:uiPriority w:val="1"/>
    <w:qFormat/>
    <w:rsid w:val="00757851"/>
    <w:pPr>
      <w:numPr>
        <w:ilvl w:val="3"/>
        <w:numId w:val="1"/>
      </w:numPr>
      <w:spacing w:before="120" w:after="120" w:line="300" w:lineRule="atLeast"/>
      <w:jc w:val="both"/>
      <w:outlineLvl w:val="3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4">
    <w:name w:val="CMS AN Heading 4"/>
    <w:uiPriority w:val="1"/>
    <w:qFormat/>
    <w:rsid w:val="00757851"/>
    <w:pPr>
      <w:numPr>
        <w:ilvl w:val="4"/>
        <w:numId w:val="1"/>
      </w:numPr>
      <w:spacing w:before="120" w:after="120" w:line="300" w:lineRule="atLeast"/>
      <w:jc w:val="both"/>
      <w:outlineLvl w:val="4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5">
    <w:name w:val="CMS AN Heading 5"/>
    <w:uiPriority w:val="1"/>
    <w:qFormat/>
    <w:rsid w:val="00757851"/>
    <w:pPr>
      <w:numPr>
        <w:ilvl w:val="5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Heading6">
    <w:name w:val="CMS AN Heading 6"/>
    <w:uiPriority w:val="1"/>
    <w:qFormat/>
    <w:rsid w:val="00757851"/>
    <w:pPr>
      <w:numPr>
        <w:ilvl w:val="6"/>
        <w:numId w:val="1"/>
      </w:numPr>
      <w:spacing w:before="120" w:after="120" w:line="300" w:lineRule="atLeast"/>
      <w:jc w:val="both"/>
      <w:outlineLvl w:val="5"/>
    </w:pPr>
    <w:rPr>
      <w:rFonts w:ascii="Times New Roman" w:eastAsiaTheme="minorHAnsi" w:hAnsi="Times New Roman" w:cs="Segoe Script"/>
      <w:color w:val="000000" w:themeColor="text1"/>
      <w:lang w:val="en-GB" w:eastAsia="en-US"/>
    </w:rPr>
  </w:style>
  <w:style w:type="paragraph" w:customStyle="1" w:styleId="CMSANMainHeading">
    <w:name w:val="CMS AN Main Heading"/>
    <w:next w:val="CMSANHeading1"/>
    <w:rsid w:val="00757851"/>
    <w:pPr>
      <w:pageBreakBefore/>
      <w:numPr>
        <w:numId w:val="1"/>
      </w:numPr>
      <w:spacing w:after="240" w:line="300" w:lineRule="atLeast"/>
      <w:jc w:val="center"/>
      <w:outlineLvl w:val="0"/>
    </w:pPr>
    <w:rPr>
      <w:rFonts w:ascii="Times New Roman" w:eastAsiaTheme="minorHAnsi" w:hAnsi="Times New Roman" w:cs="Times New Roman"/>
      <w:b/>
      <w:caps/>
      <w:color w:val="000000" w:themeColor="text1"/>
      <w:lang w:val="en-GB" w:eastAsia="en-US"/>
    </w:rPr>
  </w:style>
  <w:style w:type="numbering" w:customStyle="1" w:styleId="CMS-ANHeading">
    <w:name w:val="CMS-AN Heading"/>
    <w:basedOn w:val="a2"/>
    <w:uiPriority w:val="99"/>
    <w:rsid w:val="00757851"/>
  </w:style>
  <w:style w:type="character" w:customStyle="1" w:styleId="10">
    <w:name w:val="Неразрешенное упоминание1"/>
    <w:basedOn w:val="a0"/>
    <w:uiPriority w:val="99"/>
    <w:semiHidden/>
    <w:unhideWhenUsed/>
    <w:rsid w:val="000B1ABF"/>
    <w:rPr>
      <w:color w:val="605E5C"/>
      <w:shd w:val="clear" w:color="auto" w:fill="E1DFDD"/>
    </w:rPr>
  </w:style>
  <w:style w:type="table" w:customStyle="1" w:styleId="af9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2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c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d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e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nNEQ6KTgwF95700mcKqu2ODwf6w==">CgMxLjAyCWguMzBqMHpsbDIJaC4zem55c2g3OAByITFyY25XYm1VekpFOWtQQzdENUo4X1VDQ1NmX01BOEF6Mg==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1100</Words>
  <Characters>6276</Characters>
  <Application>Microsoft Office Word</Application>
  <DocSecurity>0</DocSecurity>
  <Lines>52</Lines>
  <Paragraphs>14</Paragraphs>
  <ScaleCrop>false</ScaleCrop>
  <Company/>
  <LinksUpToDate>false</LinksUpToDate>
  <CharactersWithSpaces>7362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dcterms:created xsi:type="dcterms:W3CDTF">2026-02-13T08:46:00Z</dcterms:created>
  <dcterms:modified xsi:type="dcterms:W3CDTF">2026-02-19T15:43:00Z</dcterms:modified>
</cp:coreProperties>
</file>